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CE" w:rsidRDefault="00296764">
      <w:pPr>
        <w:spacing w:line="360" w:lineRule="auto"/>
        <w:jc w:val="both"/>
      </w:pPr>
      <w:r>
        <w:rPr>
          <w:rFonts w:ascii="Times New Roman" w:hAnsi="Times New Roman" w:cs="Times New Roman"/>
          <w:sz w:val="24"/>
          <w:szCs w:val="24"/>
        </w:rPr>
        <w:t>Materiál chystaný jako podklad k veřejné diskusi</w:t>
      </w:r>
    </w:p>
    <w:p w:rsidR="001E15CE" w:rsidRDefault="00296764">
      <w:pPr>
        <w:spacing w:line="360" w:lineRule="auto"/>
        <w:jc w:val="both"/>
      </w:pPr>
      <w:r>
        <w:rPr>
          <w:rFonts w:ascii="Times New Roman" w:hAnsi="Times New Roman" w:cs="Times New Roman"/>
          <w:sz w:val="24"/>
          <w:szCs w:val="24"/>
        </w:rPr>
        <w:t xml:space="preserve">Téma: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Plánovaná dostavba jaderné elektrárny Dukovany v kontextu existujících zdrojů obnovitelné energie a možností jejich rozvoje</w:t>
      </w:r>
    </w:p>
    <w:p w:rsidR="001E15CE" w:rsidRDefault="00296764">
      <w:pPr>
        <w:spacing w:line="360" w:lineRule="auto"/>
        <w:jc w:val="both"/>
      </w:pPr>
      <w:r>
        <w:rPr>
          <w:rFonts w:ascii="Times New Roman" w:hAnsi="Times New Roman" w:cs="Times New Roman"/>
          <w:sz w:val="24"/>
          <w:szCs w:val="24"/>
        </w:rPr>
        <w:t>1) Jaderná energetika dnes</w:t>
      </w:r>
    </w:p>
    <w:p w:rsidR="001E15CE" w:rsidRDefault="00296764">
      <w:pPr>
        <w:spacing w:line="360" w:lineRule="auto"/>
        <w:jc w:val="both"/>
      </w:pPr>
      <w:r>
        <w:rPr>
          <w:rFonts w:ascii="Times New Roman" w:hAnsi="Times New Roman" w:cs="Times New Roman"/>
          <w:sz w:val="24"/>
          <w:szCs w:val="24"/>
        </w:rPr>
        <w:t>Tlakovodní reaktory (PWR, mírně vylepšená obdoba reaktorů instalovaných v Dukovanech nebo Temelíně) pracující s uranem obohaceným na ca 5 % izotopu 235 jsou zřejmě jedinou technickou alternativou, o které lze vzhledem k bezpečnostním a regulatorním požadavkům reálně uvažovat, pokud se má se stavbou začít jak předpokládá smlouva uzavřená mezi vládou a společností ČEZ, tedy v roce 2030. Tento koncept předpokládá jednorázové použití obohaceného uranu bez přepracování vyhořelého paliva a je spojen s předpokladem trvalého ukládání vyhořelého paliva do úložišť zajištěných jak proti úniku radioaktivity, tak (v souvislosti se závazky plynoucími ze smlouvy o nešíření jaderných zbraní) proti zneužití vyhořelého paliva pro výrobu jaderných zbraní.</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Uvažuje se o podobných PWR, jaké jsou nyní budovány ve Finsku, Francii a Velké Británii. Ekonomická návratnost pro investora má být založena na výkupních cenách elektřiny státem zaručených na takové úrovni, aby ekonomická kalkulace investice nakonec vyšla kladně.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Veřejnost by měla vědět, že z hlediska tepelné účinnosti jsou plánované jaderné elektrárny prakticky na stejné technické úrovni jako před padesáti lety, kdy se koncept PWR začal pro svou jednoduchost a relativní bezpečnost v jaderné energetice výrazně prosazovat. Z hlediska využití uranu jako neobnovitelného přírodního zdroje se pak bilance oproti představám, které panovaly ještě v osmdesátých letech, výrazně zhoršila.  Tehdy předpokládané přepracování vyhořelého paliva a znovuvyužití vytvořeného plutonia jako jaderného paliva bylo totiž nahrazeno plány na trvalé uložení nezpracovaného vyhořelého paliva.</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 hlediska bezpečnosti trpí navrhovaný koncept stále zásadním rizikem roztavení reaktoru („meltdown“) při výpadku chlazení. Toto riziko je společné všem reaktorům s pevným palivem, u nichž není možné průběžné odstraňování radioaktivních štěpných zplodin. Technicky náročnější reaktory s rozpuštěným nebo roztaveným štěpným materiálem, které by toto v zásadě umožňovaly (například MSR – molten salt reactors), nebyly nikdy dovedeny do stadia schopného komerčního nasazení, a pro uvažovanou investici tedy z regulatorních důvodů (stavět můžeme jen to, co je řádně ověřené a úřady pro jaderný dozor schválené, a pro </w:t>
      </w:r>
      <w:r>
        <w:rPr>
          <w:rFonts w:ascii="Times New Roman" w:hAnsi="Times New Roman" w:cs="Times New Roman"/>
          <w:sz w:val="24"/>
          <w:szCs w:val="24"/>
        </w:rPr>
        <w:lastRenderedPageBreak/>
        <w:t>jakoukoliv novou technologii trvá takové ověřování a schvalování řadu let) nepřipadají v úvahu.</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2) Ekonomický aspekt plánované investice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Kritici analogické investice probíhající ve Velké Británii poukazují na to, že britskou vládou zaručená výkupní cena je výrazně vyšší než dnešní cena elektřiny získávané z obnovitelných zdrojů, a že tento rozdíl se bude postupně zvětšovat, protože s dalším technickým rozvojem obnovitelných zdrojů bude cena jimi produkované elektřiny v budoucnosti dále klesat. Naše vláda naopak předpokládá (se zdůvodněním, že obnovitelné zdroje nejsou pro Českou republiku relevantní), že cena elektrické energie s rostoucím zdaněním fosilních paliv, respektive s odstavováním uhelných elektráren, výrazně poroste. Vláda argumentuje, že za předpokladu rostoucích cen může (oproti dnešním cenám obnovitelné energie vysoká) cena elektřiny, kterou stát ČEZu přislíbil, být pro spotřebitele nakonec výhodná.</w:t>
      </w:r>
    </w:p>
    <w:p w:rsidR="001E15CE" w:rsidRDefault="00296764">
      <w:pPr>
        <w:spacing w:line="360" w:lineRule="auto"/>
        <w:jc w:val="both"/>
      </w:pPr>
      <w:r>
        <w:rPr>
          <w:rFonts w:ascii="Times New Roman" w:hAnsi="Times New Roman" w:cs="Times New Roman"/>
          <w:sz w:val="24"/>
          <w:szCs w:val="24"/>
        </w:rPr>
        <w:t>Instruktivní by jistě bylo porovnat britské kalkulace cen elektřiny, jak byly provedeny pro zajištění investice do nyní rozestavěné elektrárny Hinkley Point C, a současné kalkulace pro dostavbu Dukovan. Zároveň by bylo dobré prozkoumat otázku, zda náhodou britská vláda nemá ve svých smlouvách ponechánu možnost, že vyhořelé palivo z Hinkley Point C použije k výrobě plutonia (což by mohlo být hlavním, byť skrytým důvodem pro stavbu, kterou mají spotřebitelé elektřiny v Británii ještě dlouhá desetiletí po dokončení splácet ve zvýšených účtech za elektřinu). V ČR, která na rozdíl od Británie neudržuje jaderný zbrojní arzenál, státní zájem takovéhoto druhu ovšem roli hrát nemůže.</w:t>
      </w:r>
    </w:p>
    <w:p w:rsidR="001E15CE" w:rsidRDefault="00296764">
      <w:pPr>
        <w:spacing w:line="360" w:lineRule="auto"/>
        <w:jc w:val="both"/>
      </w:pPr>
      <w:r>
        <w:rPr>
          <w:rFonts w:ascii="Times New Roman" w:hAnsi="Times New Roman" w:cs="Times New Roman"/>
          <w:sz w:val="24"/>
          <w:szCs w:val="24"/>
        </w:rPr>
        <w:t xml:space="preserve"> Z uvedených důvodů se obávám, že pokud se plánovaná dostavba Dukovan uskuteční, proroctví vlády o budoucích vysokých cenách elektřiny se vyplní: budou jimi právě ony ceny elektřiny garantované vládou k zajištění této enormně drahé stavby.</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3) Další rozpory ve vládním zdůvodňování plánované investice</w:t>
      </w:r>
    </w:p>
    <w:p w:rsidR="001E15CE" w:rsidRDefault="00296764">
      <w:pPr>
        <w:spacing w:line="360" w:lineRule="auto"/>
        <w:jc w:val="both"/>
      </w:pPr>
      <w:r>
        <w:rPr>
          <w:rFonts w:ascii="Times New Roman" w:hAnsi="Times New Roman" w:cs="Times New Roman"/>
          <w:sz w:val="24"/>
          <w:szCs w:val="24"/>
        </w:rPr>
        <w:t xml:space="preserve">Veřejnost slyší na vládní argument o tom, že dostavba Dukovan má zajistit „energetickou bezpečnost“, případně „energetickou soběstačnost“, a prozatím nežádá vysvětlení, </w:t>
      </w:r>
      <w:r>
        <w:rPr>
          <w:rFonts w:ascii="Times New Roman" w:hAnsi="Times New Roman" w:cs="Times New Roman"/>
          <w:i/>
          <w:iCs/>
          <w:sz w:val="24"/>
          <w:szCs w:val="24"/>
        </w:rPr>
        <w:t xml:space="preserve">čím </w:t>
      </w:r>
      <w:r>
        <w:rPr>
          <w:rFonts w:ascii="Times New Roman" w:hAnsi="Times New Roman" w:cs="Times New Roman"/>
          <w:sz w:val="24"/>
          <w:szCs w:val="24"/>
        </w:rPr>
        <w:t xml:space="preserve">přesně vláda tuto bezpečnost či dokonce soběstačnost zajistí. I když totiž budeme předpokládat, že v roce 2037 budeme skutečně za plánovaných 150 miliard korun mít 2000 MW nového elektrického výkonu z nových jaderných bloků, schopných dodat ročně podobně jako Dukovany nebo Temelín ca 15 TWh elektřiny (tedy asi pětinu naší nynější roční spotřeby, která činí ca 75 TWh), bude nám při uskutečnění všech současně dávaných vládních příslibů stejně </w:t>
      </w:r>
      <w:r>
        <w:rPr>
          <w:rFonts w:ascii="Times New Roman" w:hAnsi="Times New Roman" w:cs="Times New Roman"/>
          <w:sz w:val="24"/>
          <w:szCs w:val="24"/>
        </w:rPr>
        <w:lastRenderedPageBreak/>
        <w:t>spousta elektřiny chybět. Tou dobou by totiž měla životnost stávajících reaktorů v Dukovanech končit, a plánovanou novou elektrárnu tak můžeme brát jako náhradu nynějších dukovanských bloků. Jak už jsem jednou zmínil, 15 TWh ročně dodává rovněž Temelín, který by mohl fungovat do roku 2045 nebo možná až do roku 2050. Tím bychom tedy v roce 2037 měli mít stejně jako dnes k dispozici ročně zhruba 30 TWh elektřiny z jaderných elektráren. Není však jasné, odkud vezmeme zbývajících 45 TWH elektřiny, kterou nyní produkují tepelné elektrárny na fosilní paliva, když vláda nepočítá s žádným výrazným rozvojem výroby elektřiny z obnovitelných zdrojů a zároveň slibuje, že fosilní zdroje budou postupně odstaveny.</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4) Další alternativy přechodu na obnovitelné zdroje</w:t>
      </w:r>
    </w:p>
    <w:p w:rsidR="001E15CE" w:rsidRDefault="00296764">
      <w:pPr>
        <w:spacing w:line="360" w:lineRule="auto"/>
        <w:jc w:val="both"/>
      </w:pPr>
      <w:r>
        <w:rPr>
          <w:rFonts w:ascii="Times New Roman" w:hAnsi="Times New Roman" w:cs="Times New Roman"/>
          <w:sz w:val="24"/>
          <w:szCs w:val="24"/>
        </w:rPr>
        <w:t>Máme-li zodpovědně poso</w:t>
      </w:r>
      <w:r w:rsidR="00A63DE6">
        <w:rPr>
          <w:rFonts w:ascii="Times New Roman" w:hAnsi="Times New Roman" w:cs="Times New Roman"/>
          <w:sz w:val="24"/>
          <w:szCs w:val="24"/>
        </w:rPr>
        <w:t>udit vládní energetický program</w:t>
      </w:r>
      <w:r>
        <w:rPr>
          <w:rFonts w:ascii="Times New Roman" w:hAnsi="Times New Roman" w:cs="Times New Roman"/>
          <w:sz w:val="24"/>
          <w:szCs w:val="24"/>
        </w:rPr>
        <w:t>, měli bychom se zároveň umět kvalifikovaně vypořádat s dalšími koncepty, předkládanými ve sdělovacích prostředcích a/nebo na nejrůznějších webových stránkách jako možné alternativy dalšího rozvoje energetiky, případně jako možné varianty a/nebo alternativy jejího přechodu na obnovitelné zdroje.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Kromě jaderné fúze a urychlovačem řízeného jaderného štěpení jde především o zachytávání a ukládání oxidu uhličitého (carbon capture and storage, CCS) a náhradu fosilních paliv biomasou.</w:t>
      </w:r>
    </w:p>
    <w:p w:rsidR="001E15CE" w:rsidRDefault="00296764">
      <w:pPr>
        <w:spacing w:line="360" w:lineRule="auto"/>
        <w:jc w:val="both"/>
      </w:pPr>
      <w:r>
        <w:rPr>
          <w:rFonts w:ascii="Times New Roman" w:hAnsi="Times New Roman" w:cs="Times New Roman"/>
          <w:sz w:val="24"/>
          <w:szCs w:val="24"/>
        </w:rPr>
        <w:t>K řízené jaderné fúzi lze uvést jen tolik, že nikdo neví, zda vůbec kdy bude technicky zvládnuta na úrovni potřebné pro využité v energetice, a pokud ano, nakolik bude takové řešení přijatelné ekonomicky. Střízlivě vzato bude pokusné zařízení ITER (které ještě nemá sloužit jako trvale fungující pokusný zdroj energie, nýbrž pouze k testování technické proveditelnosti získání přebytku energie krátkodobou pokusnou reakcí o předpokládaném maximálním výkonu 500 MW) stát nejméně dvacet milard eur, takže má zatím asi nejhorší poměr cena-výkon ze všech diskutovaných možností. A nikdo ještě netuší, na jaké další technické problémy se po jeho plánovaném spuštění narazí, respektive zda by nakonec nějaké skutečně použitelné, trvale fungující zařízení tohoto druhu někdo vůbec dokázal zaplatit.</w:t>
      </w:r>
    </w:p>
    <w:p w:rsidR="001E15CE" w:rsidRDefault="00296764">
      <w:pPr>
        <w:spacing w:line="360" w:lineRule="auto"/>
        <w:jc w:val="both"/>
      </w:pPr>
      <w:r>
        <w:rPr>
          <w:rFonts w:ascii="Times New Roman" w:hAnsi="Times New Roman" w:cs="Times New Roman"/>
          <w:sz w:val="24"/>
          <w:szCs w:val="24"/>
        </w:rPr>
        <w:t xml:space="preserve">Urychlovačem řízené jaderné štěpení je lákavou myšlenkou, která se ovšem doposud nedostala ani ze stadia úvah. Smutným detailem těchto úvah (viz např. </w:t>
      </w:r>
      <w:hyperlink r:id="rId4">
        <w:r>
          <w:rPr>
            <w:rStyle w:val="InternetLink"/>
            <w:rFonts w:ascii="Times New Roman" w:hAnsi="Times New Roman" w:cs="Times New Roman"/>
            <w:sz w:val="24"/>
            <w:szCs w:val="24"/>
          </w:rPr>
          <w:t>https://oenergetice.cz/nazory/budeme-spalovat-jaderny-odpad-urychlovacem-rizenym-transmutorem</w:t>
        </w:r>
      </w:hyperlink>
      <w:r>
        <w:rPr>
          <w:rFonts w:ascii="Times New Roman" w:hAnsi="Times New Roman" w:cs="Times New Roman"/>
          <w:sz w:val="24"/>
          <w:szCs w:val="24"/>
        </w:rPr>
        <w:t>) je okolnost, že za samozřejmost považují využívání kontinuální separace štěpných produktů, přestože tato technologie, jak bylo zmíněno výše, nikdy z pokusného stadia nepokročila do stavu praktické použitelnosti v energetice.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CCS je lákavá představa pro příznivce fosilních paliv – v tomto případě ovšem pro změnu není známo, zda lze potřebné miliardy tun oxidu uhličitého ročně do země pumpovat za nějakou ekonomicky přijatelnou cenu a především pak, na jak dlouho lze takto „zneškodněný“ oxid uhličitý v geologických formacích skutečně udržet.</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Koncept náhrady fosilních paliv biomasou je pěkný tím, že je teoreticky „uhlíkově neutrální“ (kolik oxidu uhličitého se spalováním biomasy vytvoří, tolik se ho zase na její tvorbu spotřebuje), a kromě toho biomasa při svém růstu vypařuje vodu a tím hraje rozhodující roli v udržování malého vodního koloběhu a termoregulaci naší krajiny. Bohužel je (zřejmě ze zásadních, prakticky neovlivnitelných příčin, kterými nejspíše jsou nízká koncentrace oxidu uhličitého v atmosféře – nyní kolem 330 ppm – a limitovaný přísun minerálů z půdy) tvorba biomasy nedostatečně „výkonná“ na to, aby mohla stačit dnešní poptávce po energii.</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Hezky to je zpracováno např. na </w:t>
      </w:r>
    </w:p>
    <w:p w:rsidR="001E15CE" w:rsidRDefault="00834BD3">
      <w:pPr>
        <w:spacing w:line="360" w:lineRule="auto"/>
        <w:jc w:val="both"/>
      </w:pPr>
      <w:hyperlink r:id="rId5">
        <w:r w:rsidR="00296764">
          <w:rPr>
            <w:rStyle w:val="InternetLink"/>
            <w:rFonts w:ascii="Times New Roman" w:hAnsi="Times New Roman" w:cs="Times New Roman"/>
            <w:sz w:val="24"/>
            <w:szCs w:val="24"/>
          </w:rPr>
          <w:t>https://ekolist.cz/cz/publicistika/nazory-a-komentare/vratislav-santini-energie-efektivita-ziskavani-a-vyuzivani</w:t>
        </w:r>
      </w:hyperlink>
      <w:r w:rsidR="00296764">
        <w:rPr>
          <w:rFonts w:ascii="Times New Roman" w:hAnsi="Times New Roman" w:cs="Times New Roman"/>
          <w:sz w:val="24"/>
          <w:szCs w:val="24"/>
        </w:rPr>
        <w:t xml:space="preserve">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nebo v prezentaci</w:t>
      </w:r>
    </w:p>
    <w:p w:rsidR="001E15CE" w:rsidRDefault="00834BD3">
      <w:pPr>
        <w:spacing w:line="360" w:lineRule="auto"/>
        <w:jc w:val="both"/>
      </w:pPr>
      <w:hyperlink r:id="rId6">
        <w:r w:rsidR="00296764">
          <w:rPr>
            <w:rStyle w:val="InternetLink"/>
            <w:rFonts w:ascii="Times New Roman" w:hAnsi="Times New Roman" w:cs="Times New Roman"/>
            <w:sz w:val="24"/>
            <w:szCs w:val="24"/>
          </w:rPr>
          <w:t>https://akela.mendelu.cz/~xcepl/inobio/inovace/Ekologie_lesa/P3_Primarni_%20produkce.pdf</w:t>
        </w:r>
      </w:hyperlink>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Účinnost ukládání sluneční energie do biomasy je podle těchto pramenů okolo 1 %, a z jednoho čtverečního kilometru naší krajiny lze tak za rok získat maximálně kolem 1000 tun suché biomasy.</w:t>
      </w:r>
    </w:p>
    <w:p w:rsidR="001E15CE" w:rsidRDefault="00296764">
      <w:pPr>
        <w:spacing w:line="360" w:lineRule="auto"/>
        <w:jc w:val="both"/>
      </w:pPr>
      <w:r>
        <w:rPr>
          <w:rFonts w:ascii="Times New Roman" w:hAnsi="Times New Roman" w:cs="Times New Roman"/>
          <w:sz w:val="24"/>
          <w:szCs w:val="24"/>
        </w:rPr>
        <w:t>V našich krajích přestala biomasa stačit jako zdroj energie zhruba před 250 lety, a lze bez nadsázky říci, že zahájení těžby uhlí v 18. století zachránilo tehdejší společnost před úpadkem kvůli nedostatku energie.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5) Obnovitelné zdroje energie, které jsou v ČR skutečně k dispozici</w:t>
      </w:r>
    </w:p>
    <w:p w:rsidR="001E15CE" w:rsidRDefault="00296764">
      <w:pPr>
        <w:spacing w:line="360" w:lineRule="auto"/>
        <w:jc w:val="both"/>
      </w:pPr>
      <w:r>
        <w:rPr>
          <w:rFonts w:ascii="Times New Roman" w:hAnsi="Times New Roman" w:cs="Times New Roman"/>
          <w:sz w:val="24"/>
          <w:szCs w:val="24"/>
        </w:rPr>
        <w:t xml:space="preserve">Vládní projekt v zásadě kopíruje teze hlásané paní Danou Drábovou (viz např. </w:t>
      </w:r>
      <w:hyperlink r:id="rId7">
        <w:r>
          <w:rPr>
            <w:rStyle w:val="InternetLink"/>
            <w:rFonts w:ascii="Times New Roman" w:hAnsi="Times New Roman" w:cs="Times New Roman"/>
            <w:sz w:val="24"/>
            <w:szCs w:val="24"/>
          </w:rPr>
          <w:t>https://www.info.cz/zpravodajstvi/svet/drabova-nemecka-energiewende-popira-zakony-fyziky</w:t>
        </w:r>
      </w:hyperlink>
      <w:r>
        <w:rPr>
          <w:rFonts w:ascii="Times New Roman" w:hAnsi="Times New Roman" w:cs="Times New Roman"/>
          <w:sz w:val="24"/>
          <w:szCs w:val="24"/>
        </w:rPr>
        <w:t>):</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„Vyrobit prostřednictvím solárních panelů tolik energie jako jaderný reaktor znamená osadit panely obrovskou plochu země, kterou už dnes není kde brát. A pokud ano, pak jedině na úkor polí, lesů, lidských sídel, zbytků volné krajiny, národních parků.“</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„Obnovitelné zdroje nejsou stabilní. A my přebytky jejich výroby prostě stále neumíme skladovat.“</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Ve skutečnosti jsou obě tyto teze chybné.</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V ČR se z 1 kW tzv. „peak“ instalovaného výkonu solárních panelů dá v průměru získat 1000 kWh elektřiny za rok. Při současné průměrné účinnosti komerčních solárních panelů lze tuto energii získat ze 6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instalovaných panelů. Z 1  km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tak získáme za rok asi 0,15 TWh elektrické energie, a na pokrytí naší současné roční spotřeby elektřiny 75 TWh ve skutečnosti postačí plocha 500 </w:t>
      </w:r>
      <w:bookmarkStart w:id="0" w:name="__DdeLink__209_620136166"/>
      <w:r>
        <w:rPr>
          <w:rFonts w:ascii="Times New Roman" w:hAnsi="Times New Roman" w:cs="Times New Roman"/>
          <w:sz w:val="24"/>
          <w:szCs w:val="24"/>
        </w:rPr>
        <w:t>km</w:t>
      </w:r>
      <w:r>
        <w:rPr>
          <w:rFonts w:ascii="Times New Roman" w:hAnsi="Times New Roman" w:cs="Times New Roman"/>
          <w:sz w:val="24"/>
          <w:szCs w:val="24"/>
          <w:vertAlign w:val="superscript"/>
        </w:rPr>
        <w:t>2</w:t>
      </w:r>
      <w:r>
        <w:rPr>
          <w:rFonts w:ascii="Times New Roman" w:hAnsi="Times New Roman" w:cs="Times New Roman"/>
          <w:sz w:val="24"/>
          <w:szCs w:val="24"/>
        </w:rPr>
        <w:t>.</w:t>
      </w:r>
      <w:bookmarkEnd w:id="0"/>
      <w:r>
        <w:rPr>
          <w:rFonts w:ascii="Times New Roman" w:hAnsi="Times New Roman" w:cs="Times New Roman"/>
          <w:sz w:val="24"/>
          <w:szCs w:val="24"/>
        </w:rPr>
        <w:t xml:space="preserve"> Budovy, komunikace a další zemědělsky nevyužitelné plochy v ČR zabírají podle Českého statistického úřadu asi 1250 km</w:t>
      </w:r>
      <w:r>
        <w:rPr>
          <w:rFonts w:ascii="Times New Roman" w:hAnsi="Times New Roman" w:cs="Times New Roman"/>
          <w:sz w:val="24"/>
          <w:szCs w:val="24"/>
          <w:vertAlign w:val="superscript"/>
        </w:rPr>
        <w:t>2</w:t>
      </w:r>
      <w:r>
        <w:rPr>
          <w:rFonts w:ascii="Times New Roman" w:hAnsi="Times New Roman" w:cs="Times New Roman"/>
          <w:sz w:val="24"/>
          <w:szCs w:val="24"/>
        </w:rPr>
        <w:t>. Slunečními panely tedy nemusíme pokrývat pole ani národní parky; bohatě by postačilo jimi zastřešit například naše komunikace (čímž by se mimo jiné mohla prodloužit jejich životnost a usnadnit jejich údržba i zimní provoz na nich) a větší část existujících budov.</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Druhou tezi Dany Drábové rozeberme postupně v následujících kapitolách.</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6) Dostupné technické prostředky pro ukládání velkých množství energie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Spousta lidí tuší, že levné velkokapacitní ukládání energie může být klíčem k bohatství a úspěchu. Proto v této oblasti panuje snad ještě větší informační vřava než u samotných zdrojů energie.</w:t>
      </w:r>
    </w:p>
    <w:p w:rsidR="001E15CE" w:rsidRDefault="00296764">
      <w:pPr>
        <w:spacing w:line="360" w:lineRule="auto"/>
        <w:jc w:val="both"/>
      </w:pPr>
      <w:r>
        <w:rPr>
          <w:rFonts w:ascii="Times New Roman" w:hAnsi="Times New Roman" w:cs="Times New Roman"/>
          <w:sz w:val="24"/>
          <w:szCs w:val="24"/>
        </w:rPr>
        <w:t>Pro odhad reálné použitelnosti propagovaných metod je potřeba brát na zřetel dva parametry, které s výslednou investiční a tím i celkovou ekonomickou náročností přímo souvisejí. Řeč je o hmotnostní a objemové hustotě ukládané energie. Lze říci, že čím větší jsou jejich hodnoty, tím méně pracovního média a tím lehčí a menší zásobník bude potřeba pro uložení jednotkového množství energie.</w:t>
      </w:r>
    </w:p>
    <w:p w:rsidR="001E15CE" w:rsidRDefault="00296764">
      <w:pPr>
        <w:spacing w:line="360" w:lineRule="auto"/>
        <w:jc w:val="both"/>
      </w:pPr>
      <w:r>
        <w:rPr>
          <w:rFonts w:ascii="Times New Roman" w:hAnsi="Times New Roman" w:cs="Times New Roman"/>
          <w:sz w:val="24"/>
          <w:szCs w:val="24"/>
        </w:rPr>
        <w:t>Instruktivním příkladem může být dosud převládající způsob ukládání elektřiny pro vyrovnávání špičkové spotřeby v rozvodných sítích, kterým jsou vodní přečerpávací elektrárny (pumped hydro energy storage, PHES). Naše elektrárna Dlouhé stráně (</w:t>
      </w:r>
      <w:hyperlink r:id="rId8">
        <w:r>
          <w:rPr>
            <w:rStyle w:val="InternetLink"/>
            <w:rFonts w:ascii="Times New Roman" w:hAnsi="Times New Roman" w:cs="Times New Roman"/>
            <w:sz w:val="24"/>
            <w:szCs w:val="24"/>
          </w:rPr>
          <w:t>https://bit.ly/2UuCE9y</w:t>
        </w:r>
      </w:hyperlink>
      <w:r>
        <w:rPr>
          <w:rFonts w:ascii="Times New Roman" w:hAnsi="Times New Roman" w:cs="Times New Roman"/>
          <w:sz w:val="24"/>
          <w:szCs w:val="24"/>
        </w:rPr>
        <w:t xml:space="preserve"> ) pracuje s 2 580 000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vody a je schopná dodávat výkon 650 MW po dobu 6 hodin. Hmotnostní a objemová hustota uložené energie je v tomto případě kolem 1,5 Wh/kg resp. Wh/L a nádrž pro uložení 1 TWH energie by při stejném spádu jako Dlouhé Stráně musela mít objem 0,66 km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Alternativní metoda ukládání stlačeného vzduchu do podzemních zásobníků (compressed air energy storage, CAES) má objemovou hustotu energie srovnatelnou s PHES. Jedno z mála skutečně provozovaných zařízení tohoto druhu </w:t>
      </w:r>
      <w:r>
        <w:rPr>
          <w:rFonts w:ascii="Times New Roman" w:hAnsi="Times New Roman" w:cs="Times New Roman"/>
          <w:sz w:val="24"/>
          <w:szCs w:val="24"/>
        </w:rPr>
        <w:lastRenderedPageBreak/>
        <w:t>(</w:t>
      </w:r>
      <w:hyperlink r:id="rId9">
        <w:r>
          <w:rPr>
            <w:rStyle w:val="InternetLink"/>
            <w:rFonts w:ascii="Times New Roman" w:hAnsi="Times New Roman" w:cs="Times New Roman"/>
            <w:sz w:val="24"/>
            <w:szCs w:val="24"/>
          </w:rPr>
          <w:t>https://de.wikipedia.org/wiki/Kraftwerk_Huntorf</w:t>
        </w:r>
      </w:hyperlink>
      <w:r>
        <w:rPr>
          <w:rFonts w:ascii="Times New Roman" w:hAnsi="Times New Roman" w:cs="Times New Roman"/>
          <w:sz w:val="24"/>
          <w:szCs w:val="24"/>
        </w:rPr>
        <w:t>) bylo schopné ve dvou podzemních zásobnících o celkovém objemu 310 000 m³ uskladnit zhruba 1200 MWh energie a objemová hustota uložené energie tedy dosahovala 3,9 Wh/L. O něco vyšší hodnota hustoty energie pro Huntorf ve srovnání s Dlouhými stráněmi (a tedy naděje na nižší investiční nárořnost CAES ve srovnání s PHES) je přitom vykoupena obecně horší provozní účinností CAES ve srovnání s PHES. Rozdíl v účinnosti je dán hlavně okolností, že při stlačování plynu se část dodávané elektrické energie („ušlechtilé“ energie, schopné konat prakticky jakoukoliv práci) nevyhnutelně a nevratně přeměňuje v teplo, kdežto ve vodních elektrárnách tento druh ztrát nenastává.</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Teplo je, v protikladu k elektřině, „nejneušlechtilejší“ formou energie, kterou (bez vynaložení další dodatečné práce) nelze využít nijak jinak než zase „jako teplo“. Pokud máme tento zásadní poznatek (přesněji zformulovaný ve druhé větě termodynamiky) na zřeteli, pochopíme společnou slabinu všech návrhů na uskladňování a/nebo přepravu energie ve formě tepla (případně „chladu“ - existují též vážně míněné projekty na ukládání energie v podobě zkapalněného vzduchu): Všechny trpí (kromě podobně nízké hustoty energie jako mají PHES a CAES a okolnosti, že neexistuje dokonalá tepelná izolace schopná dlouhodobě zabránit přestupu tepla z teplejšího tělesa do chladnějšího okolí) omezenou účinností přeměny tepla na jakoukoliv ušlechtilejší formu energie.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Na opačném „pólu“ k návrhům na skladování energie v podobě tepla se nacházejí metody ukládání energie v podobě vratné elastické deformace těles (pružiny), kinetické energie (setrvačníky), nebo elektrostatické energie (elektrické kondenzátory, včetně takzvaných „superkondenzátorů“ či „superkapacitorů“). Všechny tyto způsoby se vyznačují velmi vysokou účinností, ale pokud ve srovnání s PHES nebo CAES dosahují vyšších hustot energie, pak je to díky speciálním materiálům s vysokou mechanickou či elektrickou pevností – a ještě speciálnější cenou. Tyto technologie mají význam pro speciální použití, ale ze zásadních důvodů daných fyzikou materiálů (kvůli různým „defektům“ jsou prakticky vyrobitelné materiály ve své mechanické i elektrické „pevnosti“ o několik řádů horší, než by teoreticky mohly být v „ideální“ podobě bez poruch) o nich (určitě ne v dohledné době deseti nebo patnácti let) nelze uvažovat jako o reálně dostupné alternativě pro ukládání terawatthodin energie.</w:t>
      </w:r>
    </w:p>
    <w:p w:rsidR="001E15CE" w:rsidRDefault="00296764">
      <w:pPr>
        <w:spacing w:line="360" w:lineRule="auto"/>
        <w:jc w:val="both"/>
      </w:pPr>
      <w:r>
        <w:rPr>
          <w:rFonts w:ascii="Times New Roman" w:hAnsi="Times New Roman" w:cs="Times New Roman"/>
          <w:sz w:val="24"/>
          <w:szCs w:val="24"/>
        </w:rPr>
        <w:t xml:space="preserve">Pod dojmem vyvolaným pokrokem v oblasti chemických baterií se nyní vážně diskutuje o možnosti využít této technologie i pro uskutečnění „Energiewende“. I ty nejlepší lithiové baterie však dosahují hustot energie jen kolem 250-300 Wh/L, navíc při ceně, která ve srovnání s PHES nebo CAES dosahuje hodnot vysoce přesahujících 100 Eur/kWh uložené energie. </w:t>
      </w:r>
      <w:r>
        <w:rPr>
          <w:rFonts w:ascii="Times New Roman" w:hAnsi="Times New Roman" w:cs="Times New Roman"/>
          <w:sz w:val="24"/>
          <w:szCs w:val="24"/>
        </w:rPr>
        <w:lastRenderedPageBreak/>
        <w:t xml:space="preserve">Lithiové baterie pro uložení 1 TWh elektřiny by tedy při velmi střízlivém odhadu stály astronomických 100 miliard eur. Přitom jde již o vcelku vyzrálou technologii, kde je sice dalším vývojem možné dosáhnout dalších zlepšení, možná i o desítky procent, ale ze zásadních důvodů nelze reálně očekávat převratné zvýšení hustoty energie a/nebo snížení ceny o řád nebo více. Z tohoto pohledu je radno jakékoliv sliby revolučních baterií (viz například </w:t>
      </w:r>
      <w:hyperlink r:id="rId10">
        <w:r>
          <w:rPr>
            <w:rStyle w:val="InternetLink"/>
            <w:rFonts w:ascii="Times New Roman" w:hAnsi="Times New Roman" w:cs="Times New Roman"/>
            <w:sz w:val="24"/>
            <w:szCs w:val="24"/>
          </w:rPr>
          <w:t>https://archiv.ihned.cz/c1-66780870-unikatni-baterie-he3da-smeruje-k-seriove-vyrobe</w:t>
        </w:r>
      </w:hyperlink>
      <w:r>
        <w:rPr>
          <w:rFonts w:ascii="Times New Roman" w:hAnsi="Times New Roman" w:cs="Times New Roman"/>
          <w:sz w:val="24"/>
          <w:szCs w:val="24"/>
        </w:rPr>
        <w:t>) nahlížet podobně jako obhajobu obžalovaného v trestním řízení: Dovolena je jakákoliv lež, na soudci je, aby rozumně zvážil věrohodnost všech výpovědí.</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Přesto mohou chemické baterie k uskutečnění Energiewende přispět, a to ve dvou směrech:</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má smysl uvažovat o využití baterií postavených primárně pro jiný účel (například baterií elektromobilů, již jednou zaplacených jednotlivými automobilisty), jednoduchý výpočet však ukáže, že i při úplné náhradě včech automobilů elektromobily na baterie bude celková takto získaná ukládací kapacita stačit jen pro vyrovnávání krátkodobých (maximálně několikahodinových) disproporcí mezi spotřebou a dodávkou elektřiny v síti, a</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má smysl hledat výkonnější a levnější průtokové baterie (redox flow batteries, RFB).</w:t>
      </w:r>
    </w:p>
    <w:p w:rsidR="001E15CE" w:rsidRDefault="00296764">
      <w:pPr>
        <w:spacing w:line="360" w:lineRule="auto"/>
        <w:jc w:val="both"/>
      </w:pPr>
      <w:r>
        <w:rPr>
          <w:rFonts w:ascii="Times New Roman" w:hAnsi="Times New Roman" w:cs="Times New Roman"/>
          <w:sz w:val="24"/>
          <w:szCs w:val="24"/>
        </w:rPr>
        <w:t>RFB řeší zásadní problém všech baterií založených na reakcích v pevné fázi (jímž je na jedné straně pro potřeby velkokapacitního ukládání nadbytečný výkon a na druhé straně nedostatečná kapacita) tím, že elektrochemicky aktivní látka sloužící k ukládání energie je tekutá a může být skladována mimo vlastní baterii v nádržích, jejichž objem může být (v zásadě i o několik řádů) větší než objem baterie. Všechny nyní prakticky použitelné RFB jsou však zatím založeny na poměrně zředěných vodných roztocích poměrně drahých elektrochemicky aktivních látek, takže dosahované objemové hustoty energie jsou zhruba o řád horší než u lithiových baterií a cena uložené energie je tak pro ekonomicky schůdnou Energiewende stále příliš vysoká.</w:t>
      </w:r>
    </w:p>
    <w:p w:rsidR="001E15CE" w:rsidRDefault="00296764">
      <w:pPr>
        <w:spacing w:line="360" w:lineRule="auto"/>
        <w:jc w:val="both"/>
      </w:pPr>
      <w:r>
        <w:rPr>
          <w:rFonts w:ascii="Times New Roman" w:hAnsi="Times New Roman" w:cs="Times New Roman"/>
          <w:sz w:val="24"/>
          <w:szCs w:val="24"/>
        </w:rPr>
        <w:t xml:space="preserve">Porovnejme nyní se všemi dosud diskutovanými způsoby uložení energie teplo, které lze získat spálením 1 kg uhlí, benzínu, nafty nebo zemního plynu. Pokud se jedná o nejjednodušší využití paliv k vytápění, pak se prakticky využitelná hodnota energie získatelná z paliva označuje jako výhřevnost a činí u kvalitních fosilních paliv zhruba 10 kWh/L. Hustota energie uložené ve fosilních palivech je tedy asi třicet-čtyřicetkrát vyšší než u nejlepších lithiových baterií stejné velikosti / hmotnosti. Je proto pochopitelné, že pokud se týče uskladnění energie na zimu pro vytápění, i s nejlepšími možnými bateriemi asi budeme mít vždycky problém uskutečnit je za rozumnou cenu. Je také zřejmější, proč se při dosud stále relativně nízké ceně fosilních paliv </w:t>
      </w:r>
      <w:r>
        <w:rPr>
          <w:rFonts w:ascii="Times New Roman" w:hAnsi="Times New Roman" w:cs="Times New Roman"/>
          <w:sz w:val="24"/>
          <w:szCs w:val="24"/>
        </w:rPr>
        <w:lastRenderedPageBreak/>
        <w:t xml:space="preserve">dosud vyplácelo – i při nevalné účinnosti tepelných strojů – elektřinu vyrábět (byť s velkými ztrátami) z tepla produkovaného spalováním fosilních paliv.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Toto srovnání však zároveň ukazuje, že ekonomicky schůdnou možností pro uložení velkých množství energie v řádech TWh by se mohly stát uhlovodíky umělé – za předpokladu, že jejich spálením vznikající oxid uhličitý zachytíme a za použití elektřiny a vody přeměníme zpátky v uhlovodík a kyslík. Nebo musíme najít jiné palivo se srovnatelnou hustotou energie, které uhlík neobsahuje a pří spalování tedy oxid uhličitý netvoří. Souhrnně se těmto konceptům říká „</w:t>
      </w:r>
      <w:r>
        <w:rPr>
          <w:rFonts w:ascii="Times New Roman" w:hAnsi="Times New Roman" w:cs="Times New Roman"/>
          <w:b/>
          <w:bCs/>
          <w:sz w:val="24"/>
          <w:szCs w:val="24"/>
        </w:rPr>
        <w:t>power to fuel (P2F)</w:t>
      </w:r>
      <w:r>
        <w:rPr>
          <w:rFonts w:ascii="Times New Roman" w:hAnsi="Times New Roman" w:cs="Times New Roman"/>
          <w:sz w:val="24"/>
          <w:szCs w:val="24"/>
        </w:rPr>
        <w:t>“ a probereme je podrobněji v příští kapitole.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7) V současnosti technicky proveditelné varianty konceptu přeměny obnovitelné energie na „uhlíkově neutrální“ palivo s dlouhodobou skladovatelností a vysokou hustotou energie (power to fuel, P2F)</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Přehled existujících nebo alespoň teoreticky diskutovaných možností uhlíkově neutrální (nebo bezuhlíkové) přeměny elektřiny na palivo (a případně zpět v elektřinu) je uveden v tabulce 1</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Tabulka 1</w:t>
      </w:r>
    </w:p>
    <w:tbl>
      <w:tblPr>
        <w:tblW w:w="9233"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1630"/>
        <w:gridCol w:w="1256"/>
        <w:gridCol w:w="1537"/>
        <w:gridCol w:w="1537"/>
        <w:gridCol w:w="1537"/>
        <w:gridCol w:w="1736"/>
      </w:tblGrid>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palivo/vlastnost</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Nutnost zachytávání a recyklace produktu oxidace   paliva kyslíkem</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Technologická zralost „zelené“ výroby paliva</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Technologická zralost přímé přeměny „zeleného“ paliva v teplo</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Technologická zralost přímé přeměny „zeleného“ paliva v elektřinu</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Elektrochemická reaktivita</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vodík</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 (voda)</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ano-přímo (elektrolýza vody)</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ano/ve vývoji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nepatrná (účinné katalyzátory jsou známé, ale drahé - platinové kovy)</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methan</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 (CO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ano-nepřímo (Sabatierův proces redukce CO</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lastRenderedPageBreak/>
              <w:t>„zeleným“ vodíkem)</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ano</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nepatrná</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kapalné uhlovodíky</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 (CO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nepatrná</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amoniak</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 (dusík a voda)</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ano-nepřímo (Haber-Boschův proces s použitím</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„zeleného“ vodíku)</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 vývoji</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 vývoji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nízká (účinné katalyzátory jsou známé, ale drahé - platinové kovy)</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hydrazin</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 (dusík a voda)</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 vývoji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vysoká</w:t>
            </w:r>
          </w:p>
        </w:tc>
      </w:tr>
      <w:tr w:rsidR="001E15CE">
        <w:tc>
          <w:tcPr>
            <w:tcW w:w="1629"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sodík</w:t>
            </w:r>
          </w:p>
        </w:tc>
        <w:tc>
          <w:tcPr>
            <w:tcW w:w="1256"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 (NaOH)</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ano-přímo (Castnerův proces elektrolýzy roztaveného NaOH)</w:t>
            </w:r>
          </w:p>
        </w:tc>
        <w:tc>
          <w:tcPr>
            <w:tcW w:w="1537"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 – zatím jen ideově</w:t>
            </w:r>
          </w:p>
        </w:tc>
        <w:tc>
          <w:tcPr>
            <w:tcW w:w="1538" w:type="dxa"/>
            <w:tcBorders>
              <w:top w:val="single" w:sz="4" w:space="0" w:color="000000"/>
              <w:left w:val="single" w:sz="4" w:space="0" w:color="000000"/>
              <w:bottom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částečně</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1E15CE" w:rsidRDefault="00296764">
            <w:pPr>
              <w:pStyle w:val="TableContent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vysoká</w:t>
            </w:r>
          </w:p>
        </w:tc>
      </w:tr>
    </w:tbl>
    <w:p w:rsidR="001E15CE" w:rsidRDefault="001E15CE">
      <w:pPr>
        <w:spacing w:line="360" w:lineRule="auto"/>
        <w:jc w:val="both"/>
        <w:rPr>
          <w:rFonts w:ascii="Times New Roman" w:hAnsi="Times New Roman" w:cs="Times New Roman"/>
          <w:sz w:val="24"/>
          <w:szCs w:val="24"/>
        </w:rPr>
      </w:pP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Alternativním „palivem“, o němž se hovoří nejvíce, je určitě vodík.</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Vodík má fantastickou hmotnostní hustotu energie kolem 38 kWh/kg, ale výrazně horší objemovou hustotu energie. Dokonce i ve zkapalněném stavu při teplotě pod </w:t>
      </w:r>
      <w:r>
        <w:rPr>
          <w:rFonts w:ascii="Times New Roman" w:hAnsi="Times New Roman" w:cs="Times New Roman"/>
          <w:color w:val="000000"/>
          <w:sz w:val="24"/>
          <w:szCs w:val="24"/>
        </w:rPr>
        <w:t>-</w:t>
      </w:r>
      <w:r>
        <w:rPr>
          <w:rFonts w:ascii="Times New Roman" w:hAnsi="Times New Roman" w:cs="Times New Roman"/>
          <w:sz w:val="24"/>
          <w:szCs w:val="24"/>
        </w:rPr>
        <w:t xml:space="preserve">250 °C má zhruba 2 kWh/L, a v tomto stavu nelze skladovat dlouhodobě, protože neexistuje tak dobrá tepelná izolace, která by to umožnila. Pro použití v elektromobilech se tedy místo zkapalňování vodík stlačuje na 70 MPa (sedmisetnásobek normálního tlaku), pak má za normální teploty objemovou hustotu energie zhruba 1 kWh/L. Tyto okolnosti jsou důvodem, proč EU (v nedávno schváleném programu Green Deal) v zásadě nepočítá s vodíkem jako prostředkem pro uložení elektřiny z obnovitelných zdrojů a její znovuzískání, ale zaměřuje se na to, nahradit výrobu </w:t>
      </w:r>
      <w:r>
        <w:rPr>
          <w:rFonts w:ascii="Times New Roman" w:hAnsi="Times New Roman" w:cs="Times New Roman"/>
          <w:sz w:val="24"/>
          <w:szCs w:val="24"/>
        </w:rPr>
        <w:lastRenderedPageBreak/>
        <w:t>vodíku pro průmyslové účely z fosilních paliv elektrolýzou vody za využití „čisté“ energie (tedy okamžitých přebytků energie z obnovitelných zdrojů v době, kdy hodně svítí slunce a/nebo hodně fouká vítr). Green Deal tedy určitě může pomoci dalšímu zvyšování podílu obnovitelných zdrojů na celkové spotřebě energie a snižování emisí CO</w:t>
      </w:r>
      <w:r>
        <w:rPr>
          <w:rFonts w:ascii="Times New Roman" w:hAnsi="Times New Roman" w:cs="Times New Roman"/>
          <w:sz w:val="24"/>
          <w:szCs w:val="24"/>
          <w:vertAlign w:val="subscript"/>
        </w:rPr>
        <w:t>2</w:t>
      </w:r>
      <w:r>
        <w:rPr>
          <w:rFonts w:ascii="Times New Roman" w:hAnsi="Times New Roman" w:cs="Times New Roman"/>
          <w:sz w:val="24"/>
          <w:szCs w:val="24"/>
        </w:rPr>
        <w:t>, ale zatím neumí (a ani nemá za cíl) zajistit úplný přechod výroby elektřiny na obnovitelné zdroje.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Tabulka 1 ukazuje, že potenciálně schůdných cest k uskutečnění úplné Energiewende konceptem P2F je celá řada, zatím ale nemáme žádnou technicky a ekonomicky ideální variantu, která by maximálně splňovala všechny kladené požadavky: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methan má vysokou hmotnostní hustotu energie, existuje pro něj technologicky zralá metoda výroby z CO</w:t>
      </w:r>
      <w:r>
        <w:rPr>
          <w:rFonts w:ascii="Times New Roman" w:hAnsi="Times New Roman" w:cs="Times New Roman"/>
          <w:sz w:val="24"/>
          <w:szCs w:val="24"/>
          <w:vertAlign w:val="subscript"/>
        </w:rPr>
        <w:t xml:space="preserve">2 </w:t>
      </w:r>
      <w:r>
        <w:rPr>
          <w:rFonts w:ascii="Times New Roman" w:hAnsi="Times New Roman" w:cs="Times New Roman"/>
          <w:sz w:val="24"/>
          <w:szCs w:val="24"/>
        </w:rPr>
        <w:t>a</w:t>
      </w:r>
      <w:r>
        <w:rPr>
          <w:rFonts w:ascii="Times New Roman" w:hAnsi="Times New Roman" w:cs="Times New Roman"/>
          <w:sz w:val="24"/>
          <w:szCs w:val="24"/>
          <w:vertAlign w:val="subscript"/>
        </w:rPr>
        <w:t xml:space="preserve"> </w:t>
      </w:r>
      <w:r>
        <w:rPr>
          <w:rFonts w:ascii="Times New Roman" w:hAnsi="Times New Roman" w:cs="Times New Roman"/>
          <w:sz w:val="24"/>
          <w:szCs w:val="24"/>
        </w:rPr>
        <w:t>„zeleného“ vodíku (Sabatierův proces) a pro jeho přepravu a skladování lze bez problémů využít existující infrastrukturu pro přepravu zemního plynu, ale podobně jako vodík má nízkou objemovou hustotu energie a kvůli ní se nedá skladovat ve velikých množstvích a dlouhodobě.</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Pro kapalné uhlovodíky, případně jiná kapalná uhlíkatá paliva, jako např. alkoholy, které by šlo skladovat s vysokou objemovou hustotou energie i za normální teploty a tlaku, dosud neexistuje technicky zralá metoda výroby z CO</w:t>
      </w:r>
      <w:r>
        <w:rPr>
          <w:rFonts w:ascii="Times New Roman" w:hAnsi="Times New Roman" w:cs="Times New Roman"/>
          <w:sz w:val="24"/>
          <w:szCs w:val="24"/>
          <w:vertAlign w:val="subscript"/>
        </w:rPr>
        <w:t>2</w:t>
      </w:r>
      <w:r>
        <w:rPr>
          <w:rFonts w:ascii="Times New Roman" w:hAnsi="Times New Roman" w:cs="Times New Roman"/>
          <w:sz w:val="24"/>
          <w:szCs w:val="24"/>
        </w:rPr>
        <w:t>.</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„Palivem“ budoucnosti by se tak mohl stát amoniak, který lze při normálním tlaku uchovávat v technicky jednoduchých tlakových nádobách, má solidní objemovou hustotu energie, při spalování neprodukuje oxid uhličitý, jenž by bylo zapotřebí zachytávat a recyklovat, a existuje pro něj zavedená technologie výroby z vodíku a dusíku (Haber-Boschův proces) i infrastruktura pro přepravu a skladování (pro potřeby Energiewende sice nedostačující, ale schopná potřebného rozšíření).</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Poslední tři možnosti, tedy amoniak, hydrazin a sodík, jsou potenciálně důležité z hlediska přímé přeměny „zelených“ paliv v elektrickou energii, kterou podrobněji rozebereme v následující kapitole.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8) Přímá přeměna uložené chemické energie v elektřinu: palivové články</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když je určitě žádoucí uskutečnit úplnou Energiewende, tedy převést na obnovitelné zdroje nejen výrobu elektřiny (která představuje jen menší část celkové spotřeby energie), klíč k uskutečnění úplné Energiewende zřejmě stejně spočívá v tom, umět z obnovitelných zdrojů nejdříve pokrýt alespoň spotřebu elektřiny. Jednak je to méně rozsáhlý a tím i úměrně méně náročný úkol než úplná Energiewende, a za druhé by, kvůli vyšší hodnotě (a tím i ceně) </w:t>
      </w:r>
      <w:r>
        <w:rPr>
          <w:rFonts w:ascii="Times New Roman" w:hAnsi="Times New Roman" w:cs="Times New Roman"/>
          <w:sz w:val="24"/>
          <w:szCs w:val="24"/>
        </w:rPr>
        <w:lastRenderedPageBreak/>
        <w:t>elektřiny ve srovnání s teplem, mělo být snazší dosáhnout ekonomické převahy nejdříve v této oblasti, a teprve pak se snažit ekonomicky porazit fosilní paliva i „na jejich domácím hřišti“, tedy ve výrobě tepla.</w:t>
      </w:r>
    </w:p>
    <w:p w:rsidR="001E15CE" w:rsidRDefault="00296764">
      <w:pPr>
        <w:spacing w:line="360" w:lineRule="auto"/>
        <w:jc w:val="both"/>
      </w:pPr>
      <w:r>
        <w:rPr>
          <w:rFonts w:ascii="Times New Roman" w:hAnsi="Times New Roman" w:cs="Times New Roman"/>
          <w:sz w:val="24"/>
          <w:szCs w:val="24"/>
        </w:rPr>
        <w:t xml:space="preserve">Technickým předpokladem pro uskutečnitelnost tohoto plánu je skutečnost, že na rozdíl od fosilních paliv, kde zatím nemáme funkční proces pro přímou přeměnu jejich chemické energie v elektřinu ani v laboratorním měřítku, u některých bezuhlíkatých „paliv“ takové technologie (byť v různě pokročilém stadiu vývoje) již existují. </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O důvodech této situace se ještě zmíníme, nejdříve si ale připomeňme, proč by nás přímá přeměna paliv v elektřinu měla zajímat. Tímto důvodem je vysoká účinnost přímé přeměny, pro tepelné stroje nedostižná.</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elektrochemických zařízeních totiž lze, na rozdíl od tepelných strojů, v principu využít </w:t>
      </w:r>
      <w:r>
        <w:rPr>
          <w:rFonts w:ascii="Times New Roman" w:hAnsi="Times New Roman" w:cs="Times New Roman"/>
          <w:b/>
          <w:bCs/>
          <w:sz w:val="24"/>
          <w:szCs w:val="24"/>
        </w:rPr>
        <w:t>všechnu</w:t>
      </w:r>
      <w:r>
        <w:rPr>
          <w:rFonts w:ascii="Times New Roman" w:hAnsi="Times New Roman" w:cs="Times New Roman"/>
          <w:sz w:val="24"/>
          <w:szCs w:val="24"/>
        </w:rPr>
        <w:t xml:space="preserve"> energii uloženou v příslušném palivu. Je tomu tak proto, že chemická i elektrická energie jsou podobně „ušlechtilé“ formy energie a elektrochemické procesy lze – opět „v zásadě“ - uskutečňovat vratně. To je pozadí nynějšího úspěchu bateriových elektromobilů – jakmile jednou chemické baterie dosáhly přijatelné hustoty ukládané energie, jejich účinnost v cyklu nabíjení-vybíjení začala (zejména pak při – ať už z jakéhokoliv důvodu – výhodných cenách elektřiny) hovořit proti autům poháněným motory na klasická paliva.  Elektromobil zkrátka, díky zhruba dvojnásobné účinnosti baterií ve srovnání se spalovacími motory, potřebuje na stejnou ujetou vzdálenost jenom zhruba polovinu energie kterou spotřebovalo auto se spalovacím motorem.. </w:t>
      </w:r>
    </w:p>
    <w:p w:rsidR="001E15CE" w:rsidRDefault="00296764">
      <w:pPr>
        <w:spacing w:line="360" w:lineRule="auto"/>
        <w:jc w:val="both"/>
      </w:pPr>
      <w:r>
        <w:rPr>
          <w:rFonts w:ascii="Times New Roman" w:hAnsi="Times New Roman" w:cs="Times New Roman"/>
          <w:sz w:val="24"/>
          <w:szCs w:val="24"/>
        </w:rPr>
        <w:t>Zařízení pro přímou přeměnu energie paliv v elektřinu se nazývají palivové články.  Jsou to vlastně výše zmíněné RFB, které namísto roztoku elektrochemicky aktivní látky pracují přímo s neředěným palivem, a druhou elektrochemicky aktivní složkou je u nich vzdušný kyslík. Díky přímé přeměně chemické energie v elektřinu na tom mohou být palivové články s účinností stejně dobře jako baterie, a to při zlomku investičních nákladů na kWh uložené energie.</w:t>
      </w: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 výkonnost palivových článků (a tím jejich velikost/cenu) je rozhodující elektrochemická aktivita paliva (a kyslíku – ale to je problém, který dík dlouhému vývoji kyslíkových elektrod pro palivové články na vodík a pro jiné elektrochemické procesy, jako je výroba sodného a draselného louhu s kyslíkem depolarizovanými katodami, dnes není ve většině případů rozhodujícím omezujícím faktorem). </w:t>
      </w:r>
    </w:p>
    <w:p w:rsidR="001E15CE" w:rsidRDefault="00296764">
      <w:pPr>
        <w:spacing w:line="360" w:lineRule="auto"/>
        <w:jc w:val="both"/>
      </w:pPr>
      <w:r>
        <w:rPr>
          <w:rFonts w:ascii="Times New Roman" w:hAnsi="Times New Roman" w:cs="Times New Roman"/>
          <w:sz w:val="24"/>
          <w:szCs w:val="24"/>
        </w:rPr>
        <w:lastRenderedPageBreak/>
        <w:t>Z dlouhodobé perspektivy se mohou nejvšestrannějšími palivy pro Energiewende stát amoniak anebo hydrazin, ale jedině pro sodík již dnes existuje jak technologie jeho výroby za přímého použití „zelené“ elektrické energie, tak (i když v tomto případě zatím bohužel jen v prototypech) technologie pro přímou výrobu silové elektřiny, a ani jedna z nich není omezena nutností použít drahých platinových kovů jako katalyzátorů. Sodík, který je (nejen u nás, ale i v zemích, kde se možné způsoby přechodu ekonomiky na obnovitelné zdroje již vážně zkoumají) zatím téměř zcela mimo pozornost probíhající diskuse, by tak právě při rychlém uskutečnění úplného přechodu výroby elektřiny na obnovitelné zdroje („elektrické Energiewende“)  mohl sehrát rozhodující úlohu.</w:t>
      </w:r>
    </w:p>
    <w:p w:rsidR="001E15CE" w:rsidRDefault="001E15CE">
      <w:pPr>
        <w:spacing w:line="360" w:lineRule="auto"/>
        <w:jc w:val="both"/>
        <w:rPr>
          <w:rFonts w:ascii="Times New Roman" w:hAnsi="Times New Roman" w:cs="Times New Roman"/>
          <w:sz w:val="24"/>
          <w:szCs w:val="24"/>
        </w:rPr>
      </w:pPr>
    </w:p>
    <w:p w:rsidR="001E15CE"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9) Závěr</w:t>
      </w:r>
    </w:p>
    <w:p w:rsidR="00834BD3"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Podnětem pro sepsání tohoto shrnutí byla okolnost, že souhrnná znalost všech těchto možností chybí nejen veřejnosti a politikům, ale nemají je ani odborníci zabývající se energetikou a obnovitelnými zdroji. Autor by chtěl rozšířit povědomí o tom, že již dnes existují technické možnosti pro zahájení a postupné uskutečnění úplného a ekonomicky výhodného přechodu evropského hospodářství na energii z obnovitelných zdrojů („celkové Energiewende“), a že s prací na tomto přechodu lze začít hned teď. </w:t>
      </w:r>
    </w:p>
    <w:p w:rsidR="00834BD3"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Není přitom potřeba spoléhat na vytvořené nových, dosud neznámých technologií, musíme „jen“ uplatnit některé již známé technologie  v měřítku tísíckrát až milionkrát větším, než byly dosud kdy používány. Autor chce přispět k tomu, aby se nemrhalo prostředky na přípravu investic do již dnes zastaralých technologií, kterými jsou současné jaderné elektrárny, a abychom se i my zapojili do evropského úsilí o rozvoj obnovitelných zdrojů. </w:t>
      </w:r>
    </w:p>
    <w:p w:rsidR="00834BD3"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Exi</w:t>
      </w:r>
      <w:r w:rsidR="00834BD3">
        <w:rPr>
          <w:rFonts w:ascii="Times New Roman" w:hAnsi="Times New Roman" w:cs="Times New Roman"/>
          <w:sz w:val="24"/>
          <w:szCs w:val="24"/>
        </w:rPr>
        <w:t>stující jaderné elektrárny by moh</w:t>
      </w:r>
      <w:r>
        <w:rPr>
          <w:rFonts w:ascii="Times New Roman" w:hAnsi="Times New Roman" w:cs="Times New Roman"/>
          <w:sz w:val="24"/>
          <w:szCs w:val="24"/>
        </w:rPr>
        <w:t xml:space="preserve">ly zůstat důležitým článkem energetické soustavy déle než elektrárny na fosilní paliva a nakonec </w:t>
      </w:r>
      <w:r w:rsidR="00834BD3">
        <w:rPr>
          <w:rFonts w:ascii="Times New Roman" w:hAnsi="Times New Roman" w:cs="Times New Roman"/>
          <w:sz w:val="24"/>
          <w:szCs w:val="24"/>
        </w:rPr>
        <w:t xml:space="preserve">být </w:t>
      </w:r>
      <w:r>
        <w:rPr>
          <w:rFonts w:ascii="Times New Roman" w:hAnsi="Times New Roman" w:cs="Times New Roman"/>
          <w:sz w:val="24"/>
          <w:szCs w:val="24"/>
        </w:rPr>
        <w:t xml:space="preserve">zakonzervovány jako možné záložní zdroje (například pro případ obrovského výbuchu sopky a zaclonění oblohy na několik let popelem z ní). </w:t>
      </w:r>
    </w:p>
    <w:p w:rsidR="001E15CE" w:rsidRDefault="00296764">
      <w:pPr>
        <w:spacing w:line="360" w:lineRule="auto"/>
        <w:jc w:val="both"/>
      </w:pPr>
      <w:r>
        <w:rPr>
          <w:rFonts w:ascii="Times New Roman" w:hAnsi="Times New Roman" w:cs="Times New Roman"/>
          <w:sz w:val="24"/>
          <w:szCs w:val="24"/>
        </w:rPr>
        <w:t xml:space="preserve">Prostředky plánované například v Německu jako odškodnění majitelům a provozovatelům nynějších elektráren za předčasné odstavení těchto zdrojů by měly být účelně vázané na přeměnu těchto závodů ve zdroje nové (například výrobny elektřiny z uhlíkově neutrálních paliv). To všechno by mohlo přispět získání podpory pro projekt, který může být pro celou dnešní společnost životně důležitý.  </w:t>
      </w:r>
    </w:p>
    <w:p w:rsidR="001E15CE" w:rsidRPr="00834BD3" w:rsidRDefault="00296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23. 8. 2020, </w:t>
      </w:r>
      <w:r w:rsidR="00834BD3">
        <w:rPr>
          <w:rFonts w:ascii="Times New Roman" w:hAnsi="Times New Roman" w:cs="Times New Roman"/>
          <w:sz w:val="24"/>
          <w:szCs w:val="24"/>
        </w:rPr>
        <w:t xml:space="preserve">aktualizace duben 2021, </w:t>
      </w:r>
      <w:bookmarkStart w:id="1" w:name="_GoBack"/>
      <w:bookmarkEnd w:id="1"/>
      <w:r>
        <w:rPr>
          <w:rFonts w:ascii="Times New Roman" w:hAnsi="Times New Roman" w:cs="Times New Roman"/>
          <w:sz w:val="24"/>
          <w:szCs w:val="24"/>
        </w:rPr>
        <w:t>Tomáš Kalisz</w:t>
      </w:r>
    </w:p>
    <w:sectPr w:rsidR="001E15CE" w:rsidRPr="00834BD3">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CE"/>
    <w:rsid w:val="001E15CE"/>
    <w:rsid w:val="00296764"/>
    <w:rsid w:val="00834BD3"/>
    <w:rsid w:val="00A63DE6"/>
    <w:rsid w:val="00E51C2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9AFC"/>
  <w15:docId w15:val="{842A788D-A69D-449E-B549-1B3A8B0A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rPr>
  </w:style>
  <w:style w:type="paragraph" w:styleId="berschrift1">
    <w:name w:val="heading 1"/>
    <w:basedOn w:val="Standard"/>
    <w:uiPriority w:val="9"/>
    <w:qFormat/>
    <w:pPr>
      <w:keepNext/>
      <w:keepLines/>
      <w:spacing w:before="120" w:after="120" w:line="360" w:lineRule="auto"/>
      <w:outlineLvl w:val="0"/>
    </w:pPr>
    <w:rPr>
      <w:rFonts w:ascii="Arial" w:hAnsi="Arial"/>
      <w:b/>
      <w:sz w:val="24"/>
      <w:szCs w:val="32"/>
      <w:lang w:val="de-DE"/>
    </w:rPr>
  </w:style>
  <w:style w:type="paragraph" w:styleId="berschrift2">
    <w:name w:val="heading 2"/>
    <w:basedOn w:val="Standard"/>
    <w:next w:val="KeinLeerraum"/>
    <w:uiPriority w:val="9"/>
    <w:semiHidden/>
    <w:unhideWhenUsed/>
    <w:qFormat/>
    <w:pPr>
      <w:keepNext/>
      <w:keepLines/>
      <w:tabs>
        <w:tab w:val="left" w:pos="5670"/>
      </w:tabs>
      <w:spacing w:before="100" w:after="100" w:line="280" w:lineRule="exact"/>
      <w:contextualSpacing/>
      <w:outlineLvl w:val="1"/>
    </w:pPr>
    <w:rPr>
      <w:rFonts w:ascii="Arial" w:hAnsi="Arial"/>
      <w:b/>
      <w:sz w:val="24"/>
      <w:szCs w:val="26"/>
      <w:lang w:val="de-DE"/>
    </w:rPr>
  </w:style>
  <w:style w:type="paragraph" w:styleId="berschrift3">
    <w:name w:val="heading 3"/>
    <w:basedOn w:val="Standard"/>
    <w:uiPriority w:val="9"/>
    <w:semiHidden/>
    <w:unhideWhenUsed/>
    <w:qFormat/>
    <w:pPr>
      <w:keepNext/>
      <w:keepLines/>
      <w:widowControl w:val="0"/>
      <w:spacing w:before="120" w:after="120" w:line="312" w:lineRule="auto"/>
      <w:outlineLvl w:val="2"/>
    </w:pPr>
    <w:rPr>
      <w:rFonts w:ascii="Arial" w:hAnsi="Arial"/>
      <w:b/>
      <w:szCs w:val="24"/>
      <w:lang w:val="de-DE"/>
    </w:rPr>
  </w:style>
  <w:style w:type="paragraph" w:styleId="berschrift4">
    <w:name w:val="heading 4"/>
    <w:basedOn w:val="Standard"/>
    <w:uiPriority w:val="9"/>
    <w:semiHidden/>
    <w:unhideWhenUsed/>
    <w:qFormat/>
    <w:pPr>
      <w:keepNext/>
      <w:keepLines/>
      <w:spacing w:before="120" w:after="120" w:line="312" w:lineRule="auto"/>
      <w:outlineLvl w:val="3"/>
    </w:pPr>
    <w:rPr>
      <w:rFonts w:ascii="Arial" w:hAnsi="Arial"/>
      <w:b/>
      <w:i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adpis3Char">
    <w:name w:val="Nadpis 3 Char"/>
    <w:basedOn w:val="Absatz-Standardschriftart"/>
    <w:qFormat/>
    <w:rPr>
      <w:rFonts w:ascii="Arial" w:eastAsia="Calibri" w:hAnsi="Arial" w:cs="DejaVu Sans"/>
      <w:b/>
      <w:szCs w:val="24"/>
      <w:lang w:val="de-DE"/>
    </w:rPr>
  </w:style>
  <w:style w:type="character" w:customStyle="1" w:styleId="Nadpis4Char">
    <w:name w:val="Nadpis 4 Char"/>
    <w:basedOn w:val="Absatz-Standardschriftart"/>
    <w:qFormat/>
    <w:rPr>
      <w:rFonts w:ascii="Arial" w:eastAsia="Calibri" w:hAnsi="Arial" w:cs="DejaVu Sans"/>
      <w:b/>
      <w:iCs/>
      <w:lang w:val="de-DE"/>
    </w:rPr>
  </w:style>
  <w:style w:type="character" w:customStyle="1" w:styleId="Nadpis1Char">
    <w:name w:val="Nadpis 1 Char"/>
    <w:basedOn w:val="Absatz-Standardschriftart"/>
    <w:qFormat/>
    <w:rPr>
      <w:rFonts w:ascii="Arial" w:eastAsia="Calibri" w:hAnsi="Arial" w:cs="DejaVu Sans"/>
      <w:b/>
      <w:sz w:val="24"/>
      <w:szCs w:val="32"/>
      <w:lang w:val="de-DE"/>
    </w:rPr>
  </w:style>
  <w:style w:type="character" w:customStyle="1" w:styleId="Nadpis2Char">
    <w:name w:val="Nadpis 2 Char"/>
    <w:basedOn w:val="Absatz-Standardschriftart"/>
    <w:qFormat/>
    <w:rPr>
      <w:rFonts w:ascii="Arial" w:eastAsia="Calibri" w:hAnsi="Arial" w:cs="DejaVu Sans"/>
      <w:b/>
      <w:sz w:val="24"/>
      <w:szCs w:val="26"/>
      <w:lang w:val="de-D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
    <w:name w:val="ListLabel 1"/>
    <w:qFormat/>
  </w:style>
  <w:style w:type="character" w:customStyle="1" w:styleId="ListLabel2">
    <w:name w:val="ListLabel 2"/>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rPr>
      <w:position w:val="0"/>
      <w:sz w:val="22"/>
      <w:vertAlign w:val="baseline"/>
    </w:rPr>
  </w:style>
  <w:style w:type="character" w:customStyle="1" w:styleId="ListLabel10">
    <w:name w:val="ListLabel 10"/>
    <w:qFormat/>
  </w:style>
  <w:style w:type="character" w:customStyle="1" w:styleId="ListLabel11">
    <w:name w:val="ListLabel 11"/>
    <w:qFormat/>
    <w:rPr>
      <w:position w:val="0"/>
      <w:sz w:val="22"/>
      <w:vertAlign w:val="baseline"/>
    </w:rPr>
  </w:style>
  <w:style w:type="character" w:customStyle="1" w:styleId="ListLabel12">
    <w:name w:val="ListLabel 12"/>
    <w:qFormat/>
  </w:style>
  <w:style w:type="character" w:customStyle="1" w:styleId="ListLabel13">
    <w:name w:val="ListLabel 13"/>
    <w:qFormat/>
    <w:rPr>
      <w:position w:val="0"/>
      <w:sz w:val="22"/>
      <w:vertAlign w:val="baseline"/>
    </w:rPr>
  </w:style>
  <w:style w:type="character" w:customStyle="1" w:styleId="ListLabel14">
    <w:name w:val="ListLabel 14"/>
    <w:qFormat/>
  </w:style>
  <w:style w:type="character" w:customStyle="1" w:styleId="ListLabel15">
    <w:name w:val="ListLabel 15"/>
    <w:qFormat/>
    <w:rPr>
      <w:position w:val="0"/>
      <w:sz w:val="22"/>
      <w:vertAlign w:val="baseline"/>
    </w:rPr>
  </w:style>
  <w:style w:type="character" w:customStyle="1" w:styleId="ListLabel16">
    <w:name w:val="ListLabel 16"/>
    <w:qFormat/>
    <w:rPr>
      <w:rFonts w:ascii="Times New Roman" w:hAnsi="Times New Roman" w:cs="Times New Roman"/>
      <w:sz w:val="24"/>
      <w:szCs w:val="24"/>
    </w:rPr>
  </w:style>
  <w:style w:type="paragraph" w:customStyle="1" w:styleId="Heading">
    <w:name w:val="Heading"/>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Index">
    <w:name w:val="Index"/>
    <w:basedOn w:val="Standard"/>
    <w:qFormat/>
    <w:pPr>
      <w:suppressLineNumbers/>
    </w:pPr>
    <w:rPr>
      <w:rFonts w:cs="FreeSans"/>
    </w:rPr>
  </w:style>
  <w:style w:type="paragraph" w:styleId="KeinLeerraum">
    <w:name w:val="No Spacing"/>
    <w:qFormat/>
    <w:rPr>
      <w:sz w:val="22"/>
    </w:rPr>
  </w:style>
  <w:style w:type="paragraph" w:styleId="Verzeichnis1">
    <w:name w:val="toc 1"/>
    <w:basedOn w:val="Standard"/>
    <w:autoRedefine/>
    <w:pPr>
      <w:tabs>
        <w:tab w:val="right" w:leader="dot" w:pos="9063"/>
      </w:tabs>
      <w:spacing w:after="0" w:line="312" w:lineRule="auto"/>
      <w:ind w:left="709" w:hanging="709"/>
      <w:contextualSpacing/>
    </w:pPr>
    <w:rPr>
      <w:rFonts w:ascii="Arial" w:hAnsi="Arial"/>
      <w:b/>
      <w:lang w:val="de-DE"/>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it.ly/2UuCE9y" TargetMode="External"/><Relationship Id="rId3" Type="http://schemas.openxmlformats.org/officeDocument/2006/relationships/webSettings" Target="webSettings.xml"/><Relationship Id="rId7" Type="http://schemas.openxmlformats.org/officeDocument/2006/relationships/hyperlink" Target="https://www.info.cz/zpravodajstvi/svet/drabova-nemecka-energiewende-popira-zakony-fyzik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ela.mendelu.cz/~xcepl/inobio/inovace/Ekologie_lesa/P3_Primarni_%20produkce.pdf" TargetMode="External"/><Relationship Id="rId11" Type="http://schemas.openxmlformats.org/officeDocument/2006/relationships/fontTable" Target="fontTable.xml"/><Relationship Id="rId5" Type="http://schemas.openxmlformats.org/officeDocument/2006/relationships/hyperlink" Target="https://ekolist.cz/cz/publicistika/nazory-a-komentare/vratislav-santini-energie-efektivita-ziskavani-a-vyuzivani" TargetMode="External"/><Relationship Id="rId10" Type="http://schemas.openxmlformats.org/officeDocument/2006/relationships/hyperlink" Target="https://archiv.ihned.cz/c1-66780870-unikatni-baterie-he3da-smeruje-k-seriove-vyrobe" TargetMode="External"/><Relationship Id="rId4" Type="http://schemas.openxmlformats.org/officeDocument/2006/relationships/hyperlink" Target="https://oenergetice.cz/nazory/budeme-spalovat-jaderny-odpad-urychlovacem-rizenym-transmutorem" TargetMode="External"/><Relationship Id="rId9" Type="http://schemas.openxmlformats.org/officeDocument/2006/relationships/hyperlink" Target="https://de.wikipedia.org/wiki/Kraftwerk_Huntor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3885</Words>
  <Characters>24478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Kaliszová</dc:creator>
  <dc:description/>
  <cp:lastModifiedBy>tomas.kalisz</cp:lastModifiedBy>
  <cp:revision>2</cp:revision>
  <dcterms:created xsi:type="dcterms:W3CDTF">2021-04-12T10:35:00Z</dcterms:created>
  <dcterms:modified xsi:type="dcterms:W3CDTF">2021-04-12T10:35:00Z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NSCPROP_SA">
    <vt:lpwstr>C:\Users\TOMAS~1.KAL\AppData\Local\Temp\20200823_jaderná_a_obnovitelná_energetika_diskuse_TK.docx</vt:lpwstr>
  </property>
</Properties>
</file>